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324" w:lineRule="auto"/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eastAsia="zh-CN"/>
        </w:rPr>
        <w:t>二、</w:t>
      </w: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</w:rPr>
        <w:t>一次性使用隔离衣</w:t>
      </w:r>
    </w:p>
    <w:p>
      <w:pPr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1、【型号/规格】型号∶A型∶连体式;规格∶A型∶160、165、170、175、180、185;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175-185占80%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）</w:t>
      </w:r>
    </w:p>
    <w:p>
      <w:pPr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2、【结构组成】：采用非织造布材料制成，由衣领、衣身、衣袖、腰带（若有）或上衣、裤子组成。 袖口、脚踝口为弹性收口，连体式隔离衣、分体式隔离衣腰部采用弹性收口。</w:t>
      </w:r>
    </w:p>
    <w:p>
      <w:pPr>
        <w:autoSpaceDE w:val="0"/>
        <w:autoSpaceDN w:val="0"/>
        <w:spacing w:line="324" w:lineRule="auto"/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</w:rPr>
        <w:t xml:space="preserve"> 隔离衣缝纫应均匀、牢固，卷边拼缝应齐直、平服、宽窄应一致，不应有浮线、跳线，其针迹密度，每2cm长度应不少于5针。</w:t>
      </w:r>
    </w:p>
    <w:p>
      <w:pPr>
        <w:autoSpaceDE w:val="0"/>
        <w:autoSpaceDN w:val="0"/>
        <w:spacing w:line="324" w:lineRule="auto"/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</w:rPr>
        <w:t xml:space="preserve"> 腰带依据院感要求定制，可缠绕两圈，长达3米以上；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应能承受 5N 的拉力。</w:t>
      </w:r>
    </w:p>
    <w:p>
      <w:pPr>
        <w:autoSpaceDE w:val="0"/>
        <w:autoSpaceDN w:val="0"/>
        <w:spacing w:line="324" w:lineRule="auto"/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</w:rPr>
        <w:t>透气率：不小于0.2m/s（定压值100Pa）；</w:t>
      </w:r>
    </w:p>
    <w:p>
      <w:pPr>
        <w:autoSpaceDE w:val="0"/>
        <w:autoSpaceDN w:val="0"/>
        <w:spacing w:line="324" w:lineRule="auto"/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val="en-US" w:eastAsia="zh-CN"/>
        </w:rPr>
        <w:t>6、</w:t>
      </w: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</w:rPr>
        <w:t xml:space="preserve"> 符合GB/T38462-2020中III级性能指标要求；（SMMS材质适用）</w:t>
      </w:r>
    </w:p>
    <w:p>
      <w:pPr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val="en-US" w:eastAsia="zh-CN"/>
        </w:rPr>
        <w:t>7、</w:t>
      </w: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</w:rPr>
        <w:t xml:space="preserve"> 产品采用环氧乙烷灭菌，无菌提供；环氧乙烷残留不大于10μg/g;（灭菌级产品适用</w:t>
      </w: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eastAsia="zh-CN"/>
        </w:rPr>
        <w:t>）</w:t>
      </w:r>
    </w:p>
    <w:p>
      <w:pPr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、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断裂强力：关键部位材料的断裂强力纵向应不小于20N，横向应不小于14N</w:t>
      </w:r>
    </w:p>
    <w:p>
      <w:pPr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、断裂伸长率：键部位材料的断裂伸长率纵向横向应均不小于10%。</w:t>
      </w:r>
    </w:p>
    <w:p>
      <w:pPr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、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表面抗湿性：外侧面沾水等级应不低于3级的要求</w:t>
      </w:r>
    </w:p>
    <w:p>
      <w:pPr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、产品有效期3年。</w:t>
      </w:r>
    </w:p>
    <w:p>
      <w:pPr>
        <w:ind w:left="0" w:leftChars="0" w:firstLine="639" w:firstLineChars="213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、提供产品检验合格证；</w:t>
      </w:r>
    </w:p>
    <w:p>
      <w:pPr>
        <w:autoSpaceDE w:val="0"/>
        <w:autoSpaceDN w:val="0"/>
        <w:spacing w:line="324" w:lineRule="auto"/>
        <w:ind w:left="0" w:leftChars="0" w:firstLine="639" w:firstLineChars="213"/>
        <w:rPr>
          <w:rFonts w:hint="default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val="en-US" w:eastAsia="zh-CN"/>
        </w:rPr>
        <w:t>13、*取得中华人民共和国医疗器械注册证。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00837"/>
    <w:rsid w:val="1C90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2022-04-06T01:38:00Z</dcterms:created>
  <dc:creator>花叶不相见</dc:creator>
  <cp:lastModifiedBy>花叶不相见</cp:lastModifiedBy>
  <dcterms:modified xsi:type="dcterms:W3CDTF">2022-04-06T01:38:42Z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CD5082EA11D84CFD9526F75DDE40ACE0</vt:lpwstr>
  </property>
</Properties>
</file>